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20D" w:rsidRPr="0039376D" w:rsidRDefault="0039376D" w:rsidP="0039376D">
      <w:pPr>
        <w:jc w:val="center"/>
        <w:rPr>
          <w:rFonts w:ascii="Trebuchet MS" w:hAnsi="Trebuchet MS"/>
          <w:b/>
        </w:rPr>
      </w:pPr>
      <w:r w:rsidRPr="0039376D">
        <w:rPr>
          <w:rFonts w:ascii="Trebuchet MS" w:hAnsi="Trebuchet MS"/>
          <w:b/>
        </w:rPr>
        <w:t>NOTA RELUARE PROCES DE EVALUARE SI CALENDAR ACTUALIZAT</w:t>
      </w:r>
    </w:p>
    <w:p w:rsidR="00A15B2E" w:rsidRDefault="00A15B2E" w:rsidP="00A15B2E">
      <w:pPr>
        <w:pStyle w:val="Default"/>
        <w:jc w:val="both"/>
        <w:rPr>
          <w:lang w:val="ro-RO" w:eastAsia="ro-RO"/>
        </w:rPr>
      </w:pPr>
      <w:r w:rsidRPr="00A15B2E">
        <w:rPr>
          <w:lang w:val="ro-RO" w:eastAsia="ro-RO"/>
        </w:rPr>
        <w:t>Ca urmare a aprobării</w:t>
      </w:r>
      <w:r>
        <w:rPr>
          <w:lang w:val="ro-RO" w:eastAsia="ro-RO"/>
        </w:rPr>
        <w:t xml:space="preserve"> componenț</w:t>
      </w:r>
      <w:r w:rsidRPr="00A15B2E">
        <w:rPr>
          <w:lang w:val="ro-RO" w:eastAsia="ro-RO"/>
        </w:rPr>
        <w:t xml:space="preserve">ei juriului concursului de planuri de afaceri si a finalizării fazei A de evaluare, </w:t>
      </w:r>
      <w:r>
        <w:rPr>
          <w:lang w:val="ro-RO" w:eastAsia="ro-RO"/>
        </w:rPr>
        <w:t>va informam prin prezenta Nota</w:t>
      </w:r>
      <w:r w:rsidRPr="00A15B2E">
        <w:rPr>
          <w:lang w:val="ro-RO" w:eastAsia="ro-RO"/>
        </w:rPr>
        <w:t xml:space="preserve"> </w:t>
      </w:r>
      <w:r w:rsidR="0039376D">
        <w:rPr>
          <w:lang w:val="ro-RO" w:eastAsia="ro-RO"/>
        </w:rPr>
        <w:t xml:space="preserve">despre </w:t>
      </w:r>
      <w:r w:rsidRPr="00A15B2E">
        <w:rPr>
          <w:lang w:val="ro-RO" w:eastAsia="ro-RO"/>
        </w:rPr>
        <w:t xml:space="preserve">reluarea activității evaluării planurilor de afaceri depuse si </w:t>
      </w:r>
      <w:r w:rsidR="0039376D">
        <w:rPr>
          <w:lang w:val="ro-RO" w:eastAsia="ro-RO"/>
        </w:rPr>
        <w:t xml:space="preserve">va prezentam in continuare </w:t>
      </w:r>
      <w:r w:rsidRPr="00A15B2E">
        <w:rPr>
          <w:lang w:val="ro-RO" w:eastAsia="ro-RO"/>
        </w:rPr>
        <w:t>calendarul actualizat</w:t>
      </w:r>
      <w:r w:rsidR="0039376D">
        <w:rPr>
          <w:lang w:val="ro-RO" w:eastAsia="ro-RO"/>
        </w:rPr>
        <w:t xml:space="preserve"> al procesului de evaluare:</w:t>
      </w:r>
    </w:p>
    <w:p w:rsidR="0039376D" w:rsidRPr="00A15B2E" w:rsidRDefault="0039376D" w:rsidP="00A15B2E">
      <w:pPr>
        <w:pStyle w:val="Default"/>
        <w:jc w:val="both"/>
        <w:rPr>
          <w:lang w:val="ro-RO" w:eastAsia="ro-RO"/>
        </w:rPr>
      </w:pPr>
    </w:p>
    <w:tbl>
      <w:tblPr>
        <w:tblStyle w:val="TableGrid"/>
        <w:tblW w:w="0" w:type="auto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75"/>
        <w:gridCol w:w="5598"/>
        <w:gridCol w:w="3263"/>
      </w:tblGrid>
      <w:tr w:rsidR="00A15B2E" w:rsidRPr="00E466C0" w:rsidTr="00A15B2E">
        <w:tc>
          <w:tcPr>
            <w:tcW w:w="875" w:type="dxa"/>
            <w:tcBorders>
              <w:top w:val="single" w:sz="4" w:space="0" w:color="auto"/>
            </w:tcBorders>
          </w:tcPr>
          <w:p w:rsidR="00A15B2E" w:rsidRPr="00E466C0" w:rsidRDefault="00A15B2E" w:rsidP="00656A40">
            <w:pPr>
              <w:pStyle w:val="Default"/>
              <w:jc w:val="both"/>
              <w:rPr>
                <w:lang w:val="ro-RO" w:eastAsia="ro-RO"/>
              </w:rPr>
            </w:pPr>
            <w:r w:rsidRPr="00E466C0">
              <w:rPr>
                <w:b/>
                <w:bCs/>
                <w:lang w:val="ro-RO" w:eastAsia="ro-RO"/>
              </w:rPr>
              <w:t xml:space="preserve">Nr </w:t>
            </w:r>
          </w:p>
          <w:p w:rsidR="00A15B2E" w:rsidRPr="00E466C0" w:rsidRDefault="00A15B2E" w:rsidP="00656A40">
            <w:pPr>
              <w:spacing w:after="0" w:line="240" w:lineRule="auto"/>
              <w:jc w:val="both"/>
              <w:rPr>
                <w:rFonts w:ascii="Trebuchet MS" w:hAnsi="Trebuchet MS" w:cs="Trebuchet MS"/>
                <w:b/>
                <w:sz w:val="24"/>
                <w:szCs w:val="24"/>
                <w:lang w:val="ro-RO" w:eastAsia="ro-RO"/>
              </w:rPr>
            </w:pPr>
            <w:r w:rsidRPr="00E466C0">
              <w:rPr>
                <w:rFonts w:ascii="Trebuchet MS" w:hAnsi="Trebuchet MS" w:cs="Trebuchet MS"/>
                <w:b/>
                <w:bCs/>
                <w:sz w:val="24"/>
                <w:szCs w:val="24"/>
                <w:lang w:val="ro-RO" w:eastAsia="ro-RO"/>
              </w:rPr>
              <w:t xml:space="preserve">crt. </w:t>
            </w:r>
          </w:p>
        </w:tc>
        <w:tc>
          <w:tcPr>
            <w:tcW w:w="5598" w:type="dxa"/>
            <w:tcBorders>
              <w:top w:val="single" w:sz="4" w:space="0" w:color="auto"/>
            </w:tcBorders>
          </w:tcPr>
          <w:p w:rsidR="00A15B2E" w:rsidRPr="00E466C0" w:rsidRDefault="00A15B2E" w:rsidP="00656A40">
            <w:pPr>
              <w:pStyle w:val="Default"/>
              <w:jc w:val="both"/>
              <w:rPr>
                <w:lang w:val="ro-RO" w:eastAsia="ro-RO"/>
              </w:rPr>
            </w:pPr>
            <w:r w:rsidRPr="00E466C0">
              <w:rPr>
                <w:b/>
                <w:bCs/>
                <w:lang w:val="ro-RO" w:eastAsia="ro-RO"/>
              </w:rPr>
              <w:t xml:space="preserve">Etapa </w:t>
            </w:r>
          </w:p>
          <w:p w:rsidR="00A15B2E" w:rsidRPr="00E466C0" w:rsidRDefault="00A15B2E" w:rsidP="00656A40">
            <w:pPr>
              <w:spacing w:after="0" w:line="240" w:lineRule="auto"/>
              <w:jc w:val="both"/>
              <w:rPr>
                <w:rFonts w:ascii="Trebuchet MS" w:hAnsi="Trebuchet MS" w:cs="Trebuchet MS"/>
                <w:b/>
                <w:sz w:val="24"/>
                <w:szCs w:val="24"/>
                <w:lang w:val="ro-RO" w:eastAsia="ro-RO"/>
              </w:rPr>
            </w:pPr>
          </w:p>
        </w:tc>
        <w:tc>
          <w:tcPr>
            <w:tcW w:w="3263" w:type="dxa"/>
            <w:tcBorders>
              <w:top w:val="single" w:sz="4" w:space="0" w:color="auto"/>
            </w:tcBorders>
          </w:tcPr>
          <w:p w:rsidR="00A15B2E" w:rsidRPr="00E466C0" w:rsidRDefault="00A15B2E" w:rsidP="00656A40">
            <w:pPr>
              <w:pStyle w:val="Default"/>
              <w:jc w:val="both"/>
              <w:rPr>
                <w:lang w:val="ro-RO" w:eastAsia="ro-RO"/>
              </w:rPr>
            </w:pPr>
            <w:r w:rsidRPr="00E466C0">
              <w:rPr>
                <w:b/>
                <w:bCs/>
                <w:lang w:val="ro-RO" w:eastAsia="ro-RO"/>
              </w:rPr>
              <w:t xml:space="preserve">Perioada/termen </w:t>
            </w:r>
          </w:p>
          <w:p w:rsidR="00A15B2E" w:rsidRPr="00E466C0" w:rsidRDefault="00A15B2E" w:rsidP="00656A40">
            <w:pPr>
              <w:spacing w:after="0" w:line="240" w:lineRule="auto"/>
              <w:jc w:val="both"/>
              <w:rPr>
                <w:rFonts w:ascii="Trebuchet MS" w:hAnsi="Trebuchet MS" w:cs="Trebuchet MS"/>
                <w:b/>
                <w:sz w:val="24"/>
                <w:szCs w:val="24"/>
                <w:lang w:val="ro-RO" w:eastAsia="ro-RO"/>
              </w:rPr>
            </w:pPr>
          </w:p>
        </w:tc>
      </w:tr>
      <w:tr w:rsidR="00A15B2E" w:rsidRPr="00E466C0" w:rsidTr="00A15B2E">
        <w:trPr>
          <w:trHeight w:val="305"/>
        </w:trPr>
        <w:tc>
          <w:tcPr>
            <w:tcW w:w="875" w:type="dxa"/>
          </w:tcPr>
          <w:p w:rsidR="00A15B2E" w:rsidRPr="00E466C0" w:rsidRDefault="00A15B2E" w:rsidP="00656A40">
            <w:pPr>
              <w:spacing w:after="0" w:line="240" w:lineRule="auto"/>
              <w:jc w:val="both"/>
              <w:rPr>
                <w:rFonts w:ascii="Trebuchet MS" w:hAnsi="Trebuchet MS" w:cs="Trebuchet MS"/>
                <w:b/>
                <w:sz w:val="24"/>
                <w:szCs w:val="24"/>
                <w:lang w:val="ro-RO" w:eastAsia="ro-RO"/>
              </w:rPr>
            </w:pPr>
            <w:r>
              <w:rPr>
                <w:rFonts w:ascii="Trebuchet MS" w:hAnsi="Trebuchet MS" w:cs="Trebuchet MS"/>
                <w:b/>
                <w:sz w:val="24"/>
                <w:szCs w:val="24"/>
                <w:lang w:val="ro-RO" w:eastAsia="ro-RO"/>
              </w:rPr>
              <w:t>1</w:t>
            </w:r>
          </w:p>
        </w:tc>
        <w:tc>
          <w:tcPr>
            <w:tcW w:w="5598" w:type="dxa"/>
          </w:tcPr>
          <w:p w:rsidR="00A15B2E" w:rsidRDefault="00A15B2E" w:rsidP="00656A40">
            <w:pPr>
              <w:pStyle w:val="Default"/>
              <w:jc w:val="both"/>
              <w:rPr>
                <w:lang w:val="ro-RO" w:eastAsia="ro-RO"/>
              </w:rPr>
            </w:pPr>
            <w:r w:rsidRPr="00E466C0">
              <w:rPr>
                <w:lang w:val="ro-RO" w:eastAsia="ro-RO"/>
              </w:rPr>
              <w:t xml:space="preserve">Publicarea listei dosarelor admise în Faza A </w:t>
            </w:r>
          </w:p>
          <w:p w:rsidR="0039376D" w:rsidRPr="00E466C0" w:rsidRDefault="0039376D" w:rsidP="00656A40">
            <w:pPr>
              <w:pStyle w:val="Default"/>
              <w:jc w:val="both"/>
              <w:rPr>
                <w:b/>
                <w:lang w:val="ro-RO" w:eastAsia="ro-RO"/>
              </w:rPr>
            </w:pPr>
            <w:bookmarkStart w:id="0" w:name="_GoBack"/>
            <w:bookmarkEnd w:id="0"/>
          </w:p>
        </w:tc>
        <w:tc>
          <w:tcPr>
            <w:tcW w:w="3263" w:type="dxa"/>
          </w:tcPr>
          <w:p w:rsidR="00A15B2E" w:rsidRPr="00E466C0" w:rsidRDefault="00A15B2E" w:rsidP="00656A40">
            <w:pPr>
              <w:pStyle w:val="Default"/>
              <w:jc w:val="both"/>
              <w:rPr>
                <w:b/>
                <w:lang w:val="ro-RO" w:eastAsia="ro-RO"/>
              </w:rPr>
            </w:pPr>
            <w:r>
              <w:rPr>
                <w:b/>
                <w:lang w:val="ro-RO"/>
              </w:rPr>
              <w:t>26.05.2025</w:t>
            </w:r>
          </w:p>
        </w:tc>
      </w:tr>
      <w:tr w:rsidR="00A15B2E" w:rsidRPr="00E466C0" w:rsidTr="00656A40">
        <w:tc>
          <w:tcPr>
            <w:tcW w:w="875" w:type="dxa"/>
          </w:tcPr>
          <w:p w:rsidR="00A15B2E" w:rsidRPr="00E466C0" w:rsidRDefault="00A15B2E" w:rsidP="00656A40">
            <w:pPr>
              <w:spacing w:after="0" w:line="240" w:lineRule="auto"/>
              <w:jc w:val="both"/>
              <w:rPr>
                <w:rFonts w:ascii="Trebuchet MS" w:hAnsi="Trebuchet MS" w:cs="Trebuchet MS"/>
                <w:b/>
                <w:sz w:val="24"/>
                <w:szCs w:val="24"/>
                <w:lang w:val="ro-RO" w:eastAsia="ro-RO"/>
              </w:rPr>
            </w:pPr>
            <w:r>
              <w:rPr>
                <w:rFonts w:ascii="Trebuchet MS" w:hAnsi="Trebuchet MS" w:cs="Trebuchet MS"/>
                <w:b/>
                <w:sz w:val="24"/>
                <w:szCs w:val="24"/>
                <w:lang w:val="ro-RO" w:eastAsia="ro-RO"/>
              </w:rPr>
              <w:t>2</w:t>
            </w:r>
          </w:p>
        </w:tc>
        <w:tc>
          <w:tcPr>
            <w:tcW w:w="5598" w:type="dxa"/>
          </w:tcPr>
          <w:p w:rsidR="00A15B2E" w:rsidRPr="00E466C0" w:rsidRDefault="00A15B2E" w:rsidP="00656A40">
            <w:pPr>
              <w:pStyle w:val="Default"/>
              <w:jc w:val="both"/>
              <w:rPr>
                <w:lang w:val="ro-RO" w:eastAsia="ro-RO"/>
              </w:rPr>
            </w:pPr>
            <w:r w:rsidRPr="00E466C0">
              <w:rPr>
                <w:lang w:val="ro-RO" w:eastAsia="ro-RO"/>
              </w:rPr>
              <w:t xml:space="preserve">Depunerea contestațiilor pentru Faza A </w:t>
            </w:r>
          </w:p>
          <w:p w:rsidR="00A15B2E" w:rsidRPr="00E466C0" w:rsidRDefault="00A15B2E" w:rsidP="00656A40">
            <w:pPr>
              <w:pStyle w:val="Default"/>
              <w:jc w:val="both"/>
              <w:rPr>
                <w:lang w:val="ro-RO" w:eastAsia="ro-RO"/>
              </w:rPr>
            </w:pPr>
            <w:r w:rsidRPr="00E466C0">
              <w:rPr>
                <w:lang w:val="ro-RO" w:eastAsia="ro-RO"/>
              </w:rPr>
              <w:t xml:space="preserve">(contestațiile vor fi transmise prin email, la adresa </w:t>
            </w:r>
            <w:r w:rsidRPr="00894EE3">
              <w:rPr>
                <w:lang w:val="ro-RO"/>
              </w:rPr>
              <w:t>contestatii</w:t>
            </w:r>
            <w:r w:rsidRPr="00E466C0">
              <w:rPr>
                <w:lang w:val="ro-RO" w:eastAsia="ro-RO"/>
              </w:rPr>
              <w:t>@</w:t>
            </w:r>
            <w:r w:rsidRPr="00894EE3">
              <w:rPr>
                <w:lang w:val="ro-RO"/>
              </w:rPr>
              <w:t>cudragos</w:t>
            </w:r>
            <w:r w:rsidRPr="00E466C0">
              <w:rPr>
                <w:lang w:val="ro-RO" w:eastAsia="ro-RO"/>
              </w:rPr>
              <w:t xml:space="preserve">.ro) </w:t>
            </w:r>
          </w:p>
          <w:p w:rsidR="00A15B2E" w:rsidRPr="00E466C0" w:rsidRDefault="00A15B2E" w:rsidP="00656A40">
            <w:pPr>
              <w:spacing w:after="0" w:line="240" w:lineRule="auto"/>
              <w:jc w:val="both"/>
              <w:rPr>
                <w:rFonts w:ascii="Trebuchet MS" w:eastAsia="Aptos" w:hAnsi="Trebuchet MS" w:cs="Trebuchet MS"/>
                <w:color w:val="000000"/>
                <w:sz w:val="24"/>
                <w:szCs w:val="24"/>
                <w:lang w:val="ro-RO" w:eastAsia="ro-RO"/>
              </w:rPr>
            </w:pPr>
            <w:r w:rsidRPr="00E466C0">
              <w:rPr>
                <w:rFonts w:ascii="Trebuchet MS" w:eastAsia="Aptos" w:hAnsi="Trebuchet MS" w:cs="Trebuchet MS"/>
                <w:color w:val="000000"/>
                <w:sz w:val="24"/>
                <w:szCs w:val="24"/>
                <w:lang w:val="ro-RO" w:eastAsia="ro-RO"/>
              </w:rPr>
              <w:t xml:space="preserve"> </w:t>
            </w:r>
          </w:p>
        </w:tc>
        <w:tc>
          <w:tcPr>
            <w:tcW w:w="3263" w:type="dxa"/>
          </w:tcPr>
          <w:p w:rsidR="00A15B2E" w:rsidRPr="00E466C0" w:rsidRDefault="00A15B2E" w:rsidP="00656A40">
            <w:pPr>
              <w:spacing w:after="0" w:line="240" w:lineRule="auto"/>
              <w:jc w:val="both"/>
              <w:rPr>
                <w:rFonts w:ascii="Trebuchet MS" w:hAnsi="Trebuchet MS" w:cs="Trebuchet MS"/>
                <w:bCs/>
                <w:sz w:val="24"/>
                <w:szCs w:val="24"/>
                <w:lang w:val="ro-RO" w:eastAsia="ro-RO"/>
              </w:rPr>
            </w:pPr>
            <w:r w:rsidRPr="00E466C0">
              <w:rPr>
                <w:rFonts w:ascii="Trebuchet MS" w:hAnsi="Trebuchet MS" w:cs="Trebuchet MS"/>
                <w:bCs/>
                <w:sz w:val="24"/>
                <w:szCs w:val="24"/>
                <w:lang w:val="ro-RO" w:eastAsia="ro-RO"/>
              </w:rPr>
              <w:t>Termenul limită de primire a</w:t>
            </w:r>
            <w:r>
              <w:rPr>
                <w:rFonts w:ascii="Trebuchet MS" w:hAnsi="Trebuchet MS" w:cs="Trebuchet MS"/>
                <w:bCs/>
                <w:sz w:val="24"/>
                <w:szCs w:val="24"/>
                <w:lang w:val="ro-RO" w:eastAsia="ro-RO"/>
              </w:rPr>
              <w:t xml:space="preserve"> </w:t>
            </w:r>
            <w:r w:rsidRPr="00E466C0">
              <w:rPr>
                <w:rFonts w:ascii="Trebuchet MS" w:hAnsi="Trebuchet MS" w:cs="Trebuchet MS"/>
                <w:bCs/>
                <w:sz w:val="24"/>
                <w:szCs w:val="24"/>
                <w:lang w:val="ro-RO" w:eastAsia="ro-RO"/>
              </w:rPr>
              <w:t>contestațiilor este</w:t>
            </w:r>
          </w:p>
          <w:p w:rsidR="00A15B2E" w:rsidRPr="00E466C0" w:rsidRDefault="00A15B2E" w:rsidP="00656A40">
            <w:pPr>
              <w:spacing w:after="0" w:line="240" w:lineRule="auto"/>
              <w:jc w:val="both"/>
              <w:rPr>
                <w:rFonts w:ascii="Trebuchet MS" w:hAnsi="Trebuchet MS" w:cs="Trebuchet MS"/>
                <w:b/>
                <w:sz w:val="24"/>
                <w:szCs w:val="24"/>
                <w:lang w:val="ro-RO" w:eastAsia="ro-RO"/>
              </w:rPr>
            </w:pPr>
            <w:r>
              <w:rPr>
                <w:rFonts w:ascii="Trebuchet MS" w:hAnsi="Trebuchet MS"/>
                <w:b/>
                <w:sz w:val="24"/>
                <w:lang w:val="ro-RO"/>
              </w:rPr>
              <w:t>27.05.2025</w:t>
            </w:r>
            <w:r w:rsidRPr="00E466C0">
              <w:rPr>
                <w:rFonts w:ascii="Trebuchet MS" w:hAnsi="Trebuchet MS" w:cs="Trebuchet MS"/>
                <w:b/>
                <w:sz w:val="24"/>
                <w:szCs w:val="24"/>
                <w:lang w:val="ro-RO" w:eastAsia="ro-RO"/>
              </w:rPr>
              <w:t>, ora 1</w:t>
            </w:r>
            <w:r>
              <w:rPr>
                <w:rFonts w:ascii="Trebuchet MS" w:hAnsi="Trebuchet MS" w:cs="Trebuchet MS"/>
                <w:b/>
                <w:sz w:val="24"/>
                <w:szCs w:val="24"/>
                <w:lang w:val="ro-RO" w:eastAsia="ro-RO"/>
              </w:rPr>
              <w:t>6</w:t>
            </w:r>
            <w:r w:rsidRPr="00E466C0">
              <w:rPr>
                <w:rFonts w:ascii="Trebuchet MS" w:hAnsi="Trebuchet MS" w:cs="Trebuchet MS"/>
                <w:b/>
                <w:sz w:val="24"/>
                <w:szCs w:val="24"/>
                <w:lang w:val="ro-RO" w:eastAsia="ro-RO"/>
              </w:rPr>
              <w:t>:00</w:t>
            </w:r>
          </w:p>
        </w:tc>
      </w:tr>
      <w:tr w:rsidR="00A15B2E" w:rsidRPr="00E466C0" w:rsidTr="00656A40">
        <w:tc>
          <w:tcPr>
            <w:tcW w:w="875" w:type="dxa"/>
          </w:tcPr>
          <w:p w:rsidR="00A15B2E" w:rsidRPr="00E466C0" w:rsidRDefault="00A15B2E" w:rsidP="00656A40">
            <w:pPr>
              <w:spacing w:after="0" w:line="240" w:lineRule="auto"/>
              <w:jc w:val="both"/>
              <w:rPr>
                <w:rFonts w:ascii="Trebuchet MS" w:hAnsi="Trebuchet MS" w:cs="Trebuchet MS"/>
                <w:b/>
                <w:sz w:val="24"/>
                <w:szCs w:val="24"/>
                <w:lang w:val="ro-RO" w:eastAsia="ro-RO"/>
              </w:rPr>
            </w:pPr>
            <w:r>
              <w:rPr>
                <w:rFonts w:ascii="Trebuchet MS" w:hAnsi="Trebuchet MS" w:cs="Trebuchet MS"/>
                <w:b/>
                <w:sz w:val="24"/>
                <w:szCs w:val="24"/>
                <w:lang w:val="ro-RO" w:eastAsia="ro-RO"/>
              </w:rPr>
              <w:t>3</w:t>
            </w:r>
          </w:p>
        </w:tc>
        <w:tc>
          <w:tcPr>
            <w:tcW w:w="5598" w:type="dxa"/>
          </w:tcPr>
          <w:p w:rsidR="00A15B2E" w:rsidRPr="00E466C0" w:rsidRDefault="00A15B2E" w:rsidP="00656A40">
            <w:pPr>
              <w:pStyle w:val="Default"/>
              <w:jc w:val="both"/>
              <w:rPr>
                <w:lang w:val="ro-RO" w:eastAsia="ro-RO"/>
              </w:rPr>
            </w:pPr>
            <w:r w:rsidRPr="00E466C0">
              <w:rPr>
                <w:lang w:val="ro-RO" w:eastAsia="ro-RO"/>
              </w:rPr>
              <w:t>Soluționarea contestațiilor pentru Faza A</w:t>
            </w:r>
          </w:p>
          <w:p w:rsidR="00A15B2E" w:rsidRPr="00E466C0" w:rsidRDefault="00A15B2E" w:rsidP="00656A40">
            <w:pPr>
              <w:pStyle w:val="Default"/>
              <w:jc w:val="both"/>
              <w:rPr>
                <w:lang w:val="ro-RO" w:eastAsia="ro-RO"/>
              </w:rPr>
            </w:pPr>
            <w:r w:rsidRPr="00E466C0">
              <w:rPr>
                <w:lang w:val="ro-RO" w:eastAsia="ro-RO"/>
              </w:rPr>
              <w:t>Publicarea listei finale a dosarelor admise în urma verificării conformității</w:t>
            </w:r>
            <w:r>
              <w:rPr>
                <w:lang w:val="ro-RO" w:eastAsia="ro-RO"/>
              </w:rPr>
              <w:t xml:space="preserve"> </w:t>
            </w:r>
            <w:r w:rsidRPr="00E466C0">
              <w:rPr>
                <w:lang w:val="ro-RO" w:eastAsia="ro-RO"/>
              </w:rPr>
              <w:t>administrative și a eligibilității</w:t>
            </w:r>
          </w:p>
        </w:tc>
        <w:tc>
          <w:tcPr>
            <w:tcW w:w="3263" w:type="dxa"/>
          </w:tcPr>
          <w:p w:rsidR="00A15B2E" w:rsidRPr="00E466C0" w:rsidRDefault="00A15B2E" w:rsidP="00656A40">
            <w:pPr>
              <w:spacing w:after="0" w:line="240" w:lineRule="auto"/>
              <w:jc w:val="both"/>
              <w:rPr>
                <w:rFonts w:ascii="Trebuchet MS" w:hAnsi="Trebuchet MS" w:cs="Trebuchet MS"/>
                <w:b/>
                <w:sz w:val="24"/>
                <w:szCs w:val="24"/>
                <w:lang w:val="ro-RO" w:eastAsia="ro-RO"/>
              </w:rPr>
            </w:pPr>
            <w:r>
              <w:rPr>
                <w:rFonts w:ascii="Trebuchet MS" w:hAnsi="Trebuchet MS"/>
                <w:b/>
                <w:sz w:val="24"/>
                <w:lang w:val="ro-RO"/>
              </w:rPr>
              <w:t>27.05.2025</w:t>
            </w:r>
          </w:p>
        </w:tc>
      </w:tr>
      <w:tr w:rsidR="00A15B2E" w:rsidRPr="00E466C0" w:rsidTr="00656A40">
        <w:tc>
          <w:tcPr>
            <w:tcW w:w="875" w:type="dxa"/>
          </w:tcPr>
          <w:p w:rsidR="00A15B2E" w:rsidRPr="00E466C0" w:rsidRDefault="00A15B2E" w:rsidP="00656A40">
            <w:pPr>
              <w:spacing w:after="0" w:line="240" w:lineRule="auto"/>
              <w:jc w:val="both"/>
              <w:rPr>
                <w:rFonts w:ascii="Trebuchet MS" w:hAnsi="Trebuchet MS" w:cs="Trebuchet MS"/>
                <w:b/>
                <w:sz w:val="24"/>
                <w:szCs w:val="24"/>
                <w:lang w:val="ro-RO" w:eastAsia="ro-RO"/>
              </w:rPr>
            </w:pPr>
            <w:r>
              <w:rPr>
                <w:rFonts w:ascii="Trebuchet MS" w:hAnsi="Trebuchet MS" w:cs="Trebuchet MS"/>
                <w:b/>
                <w:sz w:val="24"/>
                <w:szCs w:val="24"/>
                <w:lang w:val="ro-RO" w:eastAsia="ro-RO"/>
              </w:rPr>
              <w:t>4</w:t>
            </w:r>
          </w:p>
        </w:tc>
        <w:tc>
          <w:tcPr>
            <w:tcW w:w="5598" w:type="dxa"/>
          </w:tcPr>
          <w:p w:rsidR="00A15B2E" w:rsidRPr="00E466C0" w:rsidRDefault="00A15B2E" w:rsidP="00656A40">
            <w:pPr>
              <w:spacing w:after="0" w:line="240" w:lineRule="auto"/>
              <w:jc w:val="both"/>
              <w:rPr>
                <w:rFonts w:ascii="Trebuchet MS" w:hAnsi="Trebuchet MS" w:cs="Trebuchet MS"/>
                <w:bCs/>
                <w:sz w:val="24"/>
                <w:szCs w:val="24"/>
                <w:lang w:val="ro-RO" w:eastAsia="ro-RO"/>
              </w:rPr>
            </w:pPr>
            <w:r w:rsidRPr="00E466C0">
              <w:rPr>
                <w:rFonts w:ascii="Trebuchet MS" w:hAnsi="Trebuchet MS" w:cs="Trebuchet MS"/>
                <w:bCs/>
                <w:sz w:val="24"/>
                <w:szCs w:val="24"/>
                <w:lang w:val="ro-RO" w:eastAsia="ro-RO"/>
              </w:rPr>
              <w:t>Evaluarea tehnico‐financiară a planurilor de afaceri–Faza B si</w:t>
            </w:r>
          </w:p>
          <w:p w:rsidR="00A15B2E" w:rsidRPr="00E466C0" w:rsidRDefault="00A15B2E" w:rsidP="00656A40">
            <w:pPr>
              <w:spacing w:after="0" w:line="240" w:lineRule="auto"/>
              <w:jc w:val="both"/>
              <w:rPr>
                <w:rFonts w:ascii="Trebuchet MS" w:hAnsi="Trebuchet MS" w:cs="Trebuchet MS"/>
                <w:b/>
                <w:sz w:val="24"/>
                <w:szCs w:val="24"/>
                <w:lang w:val="ro-RO" w:eastAsia="ro-RO"/>
              </w:rPr>
            </w:pPr>
            <w:r w:rsidRPr="00E466C0">
              <w:rPr>
                <w:rFonts w:ascii="Trebuchet MS" w:hAnsi="Trebuchet MS" w:cs="Trebuchet MS"/>
                <w:bCs/>
                <w:sz w:val="24"/>
                <w:szCs w:val="24"/>
                <w:lang w:val="ro-RO" w:eastAsia="ro-RO"/>
              </w:rPr>
              <w:t xml:space="preserve">Publicarea listei dosarelor admise în Faza B </w:t>
            </w:r>
          </w:p>
        </w:tc>
        <w:tc>
          <w:tcPr>
            <w:tcW w:w="3263" w:type="dxa"/>
          </w:tcPr>
          <w:p w:rsidR="00A15B2E" w:rsidRDefault="00A15B2E" w:rsidP="00656A40">
            <w:pPr>
              <w:pStyle w:val="Default"/>
              <w:jc w:val="both"/>
              <w:rPr>
                <w:b/>
                <w:bCs/>
                <w:lang w:val="ro-RO" w:eastAsia="ro-RO"/>
              </w:rPr>
            </w:pPr>
            <w:r>
              <w:rPr>
                <w:b/>
                <w:lang w:val="ro-RO"/>
              </w:rPr>
              <w:t>28-29.05</w:t>
            </w:r>
            <w:r w:rsidRPr="00E466C0">
              <w:rPr>
                <w:b/>
                <w:bCs/>
                <w:lang w:val="ro-RO" w:eastAsia="ro-RO"/>
              </w:rPr>
              <w:t>.2025</w:t>
            </w:r>
          </w:p>
          <w:p w:rsidR="00A15B2E" w:rsidRDefault="00A15B2E" w:rsidP="00656A40">
            <w:pPr>
              <w:pStyle w:val="Default"/>
              <w:jc w:val="both"/>
              <w:rPr>
                <w:b/>
                <w:bCs/>
                <w:lang w:val="ro-RO" w:eastAsia="ro-RO"/>
              </w:rPr>
            </w:pPr>
          </w:p>
          <w:p w:rsidR="00A15B2E" w:rsidRPr="00476C75" w:rsidRDefault="00A15B2E" w:rsidP="00656A40">
            <w:pPr>
              <w:pStyle w:val="Default"/>
              <w:jc w:val="both"/>
              <w:rPr>
                <w:lang w:val="ro-RO" w:eastAsia="ro-RO"/>
              </w:rPr>
            </w:pPr>
            <w:r>
              <w:rPr>
                <w:b/>
                <w:bCs/>
                <w:lang w:val="ro-RO" w:eastAsia="ro-RO"/>
              </w:rPr>
              <w:t>29.05.2025</w:t>
            </w:r>
          </w:p>
        </w:tc>
      </w:tr>
      <w:tr w:rsidR="00A15B2E" w:rsidRPr="00E466C0" w:rsidTr="00656A40">
        <w:tc>
          <w:tcPr>
            <w:tcW w:w="875" w:type="dxa"/>
          </w:tcPr>
          <w:p w:rsidR="00A15B2E" w:rsidRPr="00E466C0" w:rsidRDefault="00A15B2E" w:rsidP="00656A40">
            <w:pPr>
              <w:spacing w:after="0" w:line="240" w:lineRule="auto"/>
              <w:jc w:val="both"/>
              <w:rPr>
                <w:rFonts w:ascii="Trebuchet MS" w:hAnsi="Trebuchet MS" w:cs="Trebuchet MS"/>
                <w:b/>
                <w:sz w:val="24"/>
                <w:szCs w:val="24"/>
                <w:lang w:val="ro-RO" w:eastAsia="ro-RO"/>
              </w:rPr>
            </w:pPr>
            <w:r>
              <w:rPr>
                <w:rFonts w:ascii="Trebuchet MS" w:hAnsi="Trebuchet MS" w:cs="Trebuchet MS"/>
                <w:b/>
                <w:sz w:val="24"/>
                <w:szCs w:val="24"/>
                <w:lang w:val="ro-RO" w:eastAsia="ro-RO"/>
              </w:rPr>
              <w:t>5</w:t>
            </w:r>
          </w:p>
        </w:tc>
        <w:tc>
          <w:tcPr>
            <w:tcW w:w="5598" w:type="dxa"/>
          </w:tcPr>
          <w:p w:rsidR="00A15B2E" w:rsidRPr="00E466C0" w:rsidRDefault="00A15B2E" w:rsidP="00656A40">
            <w:pPr>
              <w:spacing w:after="0" w:line="240" w:lineRule="auto"/>
              <w:jc w:val="both"/>
              <w:rPr>
                <w:rFonts w:ascii="Trebuchet MS" w:hAnsi="Trebuchet MS" w:cs="Trebuchet MS"/>
                <w:bCs/>
                <w:sz w:val="24"/>
                <w:szCs w:val="24"/>
                <w:lang w:val="ro-RO" w:eastAsia="ro-RO"/>
              </w:rPr>
            </w:pPr>
            <w:r w:rsidRPr="00E466C0">
              <w:rPr>
                <w:rFonts w:ascii="Trebuchet MS" w:hAnsi="Trebuchet MS" w:cs="Trebuchet MS"/>
                <w:bCs/>
                <w:sz w:val="24"/>
                <w:szCs w:val="24"/>
                <w:lang w:val="ro-RO" w:eastAsia="ro-RO"/>
              </w:rPr>
              <w:t xml:space="preserve">Depunerea contestațiilor pentru </w:t>
            </w:r>
          </w:p>
          <w:p w:rsidR="00A15B2E" w:rsidRPr="00E466C0" w:rsidRDefault="00A15B2E" w:rsidP="00656A40">
            <w:pPr>
              <w:spacing w:after="0" w:line="240" w:lineRule="auto"/>
              <w:jc w:val="both"/>
              <w:rPr>
                <w:rFonts w:ascii="Trebuchet MS" w:hAnsi="Trebuchet MS" w:cs="Trebuchet MS"/>
                <w:b/>
                <w:sz w:val="24"/>
                <w:szCs w:val="24"/>
                <w:lang w:val="ro-RO" w:eastAsia="ro-RO"/>
              </w:rPr>
            </w:pPr>
            <w:r w:rsidRPr="00E466C0">
              <w:rPr>
                <w:rFonts w:ascii="Trebuchet MS" w:hAnsi="Trebuchet MS" w:cs="Trebuchet MS"/>
                <w:bCs/>
                <w:sz w:val="24"/>
                <w:szCs w:val="24"/>
                <w:lang w:val="ro-RO" w:eastAsia="ro-RO"/>
              </w:rPr>
              <w:t xml:space="preserve">Faza B (contestațiile vor fi transmise prin email, la </w:t>
            </w:r>
            <w:r w:rsidRPr="00E466C0">
              <w:rPr>
                <w:rFonts w:ascii="Trebuchet MS" w:hAnsi="Trebuchet MS"/>
                <w:bCs/>
                <w:sz w:val="24"/>
                <w:szCs w:val="24"/>
                <w:lang w:val="ro-RO" w:eastAsia="ro-RO"/>
              </w:rPr>
              <w:t>contestatii@cudragos.ro</w:t>
            </w:r>
            <w:r w:rsidRPr="00E466C0">
              <w:rPr>
                <w:rFonts w:ascii="Trebuchet MS" w:hAnsi="Trebuchet MS" w:cs="Trebuchet MS"/>
                <w:bCs/>
                <w:sz w:val="24"/>
                <w:szCs w:val="24"/>
                <w:lang w:val="ro-RO" w:eastAsia="ro-RO"/>
              </w:rPr>
              <w:t xml:space="preserve">) </w:t>
            </w:r>
          </w:p>
        </w:tc>
        <w:tc>
          <w:tcPr>
            <w:tcW w:w="3263" w:type="dxa"/>
          </w:tcPr>
          <w:p w:rsidR="00A15B2E" w:rsidRPr="00E466C0" w:rsidRDefault="00A15B2E" w:rsidP="00656A40">
            <w:pPr>
              <w:spacing w:after="0" w:line="240" w:lineRule="auto"/>
              <w:jc w:val="both"/>
              <w:rPr>
                <w:rFonts w:ascii="Trebuchet MS" w:hAnsi="Trebuchet MS" w:cs="Trebuchet MS"/>
                <w:b/>
                <w:sz w:val="24"/>
                <w:szCs w:val="24"/>
                <w:lang w:val="ro-RO" w:eastAsia="ro-RO"/>
              </w:rPr>
            </w:pPr>
            <w:r w:rsidRPr="00E466C0">
              <w:rPr>
                <w:rFonts w:ascii="Trebuchet MS" w:hAnsi="Trebuchet MS" w:cs="Trebuchet MS"/>
                <w:bCs/>
                <w:sz w:val="24"/>
                <w:szCs w:val="24"/>
                <w:lang w:val="ro-RO" w:eastAsia="ro-RO"/>
              </w:rPr>
              <w:t>Termenul limită de primire a contestațiilor este</w:t>
            </w:r>
            <w:r w:rsidRPr="00E466C0">
              <w:rPr>
                <w:rFonts w:ascii="Trebuchet MS" w:hAnsi="Trebuchet MS" w:cs="Trebuchet MS"/>
                <w:b/>
                <w:sz w:val="24"/>
                <w:szCs w:val="24"/>
                <w:lang w:val="ro-RO" w:eastAsia="ro-RO"/>
              </w:rPr>
              <w:t xml:space="preserve"> </w:t>
            </w:r>
            <w:r>
              <w:rPr>
                <w:rFonts w:ascii="Trebuchet MS" w:hAnsi="Trebuchet MS"/>
                <w:b/>
                <w:sz w:val="24"/>
                <w:lang w:val="ro-RO"/>
              </w:rPr>
              <w:t>30.05</w:t>
            </w:r>
            <w:r w:rsidRPr="00E466C0">
              <w:rPr>
                <w:rFonts w:ascii="Trebuchet MS" w:hAnsi="Trebuchet MS" w:cs="Trebuchet MS"/>
                <w:b/>
                <w:sz w:val="24"/>
                <w:szCs w:val="24"/>
                <w:lang w:val="ro-RO" w:eastAsia="ro-RO"/>
              </w:rPr>
              <w:t>.2025,</w:t>
            </w:r>
          </w:p>
          <w:p w:rsidR="00A15B2E" w:rsidRPr="00E466C0" w:rsidRDefault="00A15B2E" w:rsidP="00656A40">
            <w:pPr>
              <w:spacing w:after="0" w:line="240" w:lineRule="auto"/>
              <w:jc w:val="both"/>
              <w:rPr>
                <w:rFonts w:ascii="Trebuchet MS" w:hAnsi="Trebuchet MS" w:cs="Trebuchet MS"/>
                <w:b/>
                <w:sz w:val="24"/>
                <w:szCs w:val="24"/>
                <w:lang w:val="ro-RO" w:eastAsia="ro-RO"/>
              </w:rPr>
            </w:pPr>
            <w:r w:rsidRPr="00E466C0">
              <w:rPr>
                <w:rFonts w:ascii="Trebuchet MS" w:hAnsi="Trebuchet MS" w:cs="Trebuchet MS"/>
                <w:b/>
                <w:sz w:val="24"/>
                <w:szCs w:val="24"/>
                <w:lang w:val="ro-RO" w:eastAsia="ro-RO"/>
              </w:rPr>
              <w:t>ora 16:00</w:t>
            </w:r>
          </w:p>
        </w:tc>
      </w:tr>
      <w:tr w:rsidR="00A15B2E" w:rsidRPr="00E466C0" w:rsidTr="00656A40">
        <w:tc>
          <w:tcPr>
            <w:tcW w:w="875" w:type="dxa"/>
          </w:tcPr>
          <w:p w:rsidR="00A15B2E" w:rsidRPr="00E466C0" w:rsidRDefault="00A15B2E" w:rsidP="00656A40">
            <w:pPr>
              <w:spacing w:after="0" w:line="240" w:lineRule="auto"/>
              <w:jc w:val="both"/>
              <w:rPr>
                <w:rFonts w:ascii="Trebuchet MS" w:hAnsi="Trebuchet MS" w:cs="Trebuchet MS"/>
                <w:b/>
                <w:sz w:val="24"/>
                <w:szCs w:val="24"/>
                <w:lang w:val="ro-RO" w:eastAsia="ro-RO"/>
              </w:rPr>
            </w:pPr>
            <w:r>
              <w:rPr>
                <w:rFonts w:ascii="Trebuchet MS" w:hAnsi="Trebuchet MS" w:cs="Trebuchet MS"/>
                <w:b/>
                <w:sz w:val="24"/>
                <w:szCs w:val="24"/>
                <w:lang w:val="ro-RO" w:eastAsia="ro-RO"/>
              </w:rPr>
              <w:t>6</w:t>
            </w:r>
          </w:p>
        </w:tc>
        <w:tc>
          <w:tcPr>
            <w:tcW w:w="5598" w:type="dxa"/>
          </w:tcPr>
          <w:p w:rsidR="00A15B2E" w:rsidRPr="00E466C0" w:rsidRDefault="00A15B2E" w:rsidP="00656A40">
            <w:pPr>
              <w:pStyle w:val="Default"/>
              <w:jc w:val="both"/>
              <w:rPr>
                <w:lang w:val="ro-RO" w:eastAsia="ro-RO"/>
              </w:rPr>
            </w:pPr>
            <w:r w:rsidRPr="00E466C0">
              <w:rPr>
                <w:lang w:val="ro-RO" w:eastAsia="ro-RO"/>
              </w:rPr>
              <w:t>Soluționarea contestațiilor pentru Faza B si Publicarea listei finale a planurilor de afaceri care vor primi finanțare si a listei de rezerva (după caz)</w:t>
            </w:r>
          </w:p>
        </w:tc>
        <w:tc>
          <w:tcPr>
            <w:tcW w:w="3263" w:type="dxa"/>
          </w:tcPr>
          <w:p w:rsidR="00A15B2E" w:rsidRPr="00476C75" w:rsidRDefault="00A15B2E" w:rsidP="00656A40">
            <w:pPr>
              <w:pStyle w:val="Default"/>
              <w:jc w:val="both"/>
              <w:rPr>
                <w:b/>
                <w:lang w:val="ro-RO" w:eastAsia="ro-RO"/>
              </w:rPr>
            </w:pPr>
            <w:r w:rsidRPr="00476C75">
              <w:rPr>
                <w:b/>
                <w:lang w:val="ro-RO"/>
              </w:rPr>
              <w:t>31</w:t>
            </w:r>
            <w:r w:rsidRPr="00476C75">
              <w:rPr>
                <w:b/>
                <w:lang w:val="ro-RO" w:eastAsia="ro-RO"/>
              </w:rPr>
              <w:t>.05.2025</w:t>
            </w:r>
          </w:p>
          <w:p w:rsidR="00A15B2E" w:rsidRPr="00476C75" w:rsidRDefault="00A15B2E" w:rsidP="00656A40">
            <w:pPr>
              <w:spacing w:after="0" w:line="240" w:lineRule="auto"/>
              <w:jc w:val="both"/>
              <w:rPr>
                <w:rFonts w:ascii="Trebuchet MS" w:hAnsi="Trebuchet MS" w:cs="Trebuchet MS"/>
                <w:b/>
                <w:sz w:val="24"/>
                <w:szCs w:val="24"/>
                <w:lang w:val="ro-RO" w:eastAsia="ro-RO"/>
              </w:rPr>
            </w:pPr>
          </w:p>
        </w:tc>
      </w:tr>
    </w:tbl>
    <w:p w:rsidR="00A15B2E" w:rsidRPr="00476C75" w:rsidRDefault="00A15B2E" w:rsidP="00A15B2E"/>
    <w:p w:rsidR="00A15B2E" w:rsidRPr="00476C75" w:rsidRDefault="00A15B2E" w:rsidP="00476C75"/>
    <w:sectPr w:rsidR="00A15B2E" w:rsidRPr="00476C75">
      <w:headerReference w:type="default" r:id="rId7"/>
      <w:footerReference w:type="default" r:id="rId8"/>
      <w:pgSz w:w="11906" w:h="16838"/>
      <w:pgMar w:top="1440" w:right="1170" w:bottom="1440" w:left="99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47AA" w:rsidRDefault="006547AA">
      <w:pPr>
        <w:spacing w:line="240" w:lineRule="auto"/>
      </w:pPr>
      <w:r>
        <w:separator/>
      </w:r>
    </w:p>
  </w:endnote>
  <w:endnote w:type="continuationSeparator" w:id="0">
    <w:p w:rsidR="006547AA" w:rsidRDefault="006547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120D" w:rsidRDefault="006547AA">
    <w:pPr>
      <w:pStyle w:val="Footer"/>
      <w:tabs>
        <w:tab w:val="clear" w:pos="9360"/>
        <w:tab w:val="left" w:pos="5100"/>
      </w:tabs>
      <w:ind w:left="-630"/>
      <w:rPr>
        <w:lang w:val="ro-RO"/>
      </w:rPr>
    </w:pPr>
    <w:bookmarkStart w:id="1" w:name="_Hlk174384704"/>
    <w:bookmarkStart w:id="2" w:name="_Hlk174384705"/>
    <w:r>
      <w:rPr>
        <w:noProof/>
        <w:lang w:val="ro-RO" w:eastAsia="ro-RO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2514600</wp:posOffset>
          </wp:positionH>
          <wp:positionV relativeFrom="paragraph">
            <wp:posOffset>-8255</wp:posOffset>
          </wp:positionV>
          <wp:extent cx="1234440" cy="1234440"/>
          <wp:effectExtent l="0" t="0" r="0" b="0"/>
          <wp:wrapNone/>
          <wp:docPr id="235740425" name="Picture 4" descr="A group of people with a wheelchai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5740425" name="Picture 4" descr="A group of people with a wheelchai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34440" cy="1234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74120D" w:rsidRDefault="006547AA">
    <w:pPr>
      <w:pStyle w:val="Footer"/>
      <w:tabs>
        <w:tab w:val="left" w:pos="5100"/>
      </w:tabs>
      <w:rPr>
        <w:lang w:val="ro-RO"/>
      </w:rPr>
    </w:pPr>
    <w:r>
      <w:rPr>
        <w:noProof/>
        <w:lang w:val="ro-RO" w:eastAsia="ro-RO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4892040</wp:posOffset>
          </wp:positionH>
          <wp:positionV relativeFrom="paragraph">
            <wp:posOffset>23495</wp:posOffset>
          </wp:positionV>
          <wp:extent cx="1586230" cy="449580"/>
          <wp:effectExtent l="0" t="0" r="0" b="7620"/>
          <wp:wrapTight wrapText="bothSides">
            <wp:wrapPolygon edited="0">
              <wp:start x="0" y="0"/>
              <wp:lineTo x="0" y="21051"/>
              <wp:lineTo x="21271" y="21051"/>
              <wp:lineTo x="21271" y="0"/>
              <wp:lineTo x="0" y="0"/>
            </wp:wrapPolygon>
          </wp:wrapTight>
          <wp:docPr id="1152737770" name="Picture 1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2737770" name="Picture 1" descr="A black and white logo&#10;&#10;Description automatically generated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6230" cy="4495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hAnsi="Trebuchet MS"/>
        <w:noProof/>
        <w:sz w:val="24"/>
        <w:szCs w:val="24"/>
        <w:lang w:val="ro-RO" w:eastAsia="ro-RO"/>
      </w:rPr>
      <w:drawing>
        <wp:inline distT="0" distB="0" distL="0" distR="0">
          <wp:extent cx="1383030" cy="448945"/>
          <wp:effectExtent l="0" t="0" r="7620" b="8255"/>
          <wp:docPr id="1560168131" name="Picture 1" descr="A white background with letters and 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0168131" name="Picture 1" descr="A white background with letters and text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10316" cy="45817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lang w:val="ro-RO"/>
      </w:rPr>
      <w:tab/>
      <w:t xml:space="preserve">         </w:t>
    </w:r>
    <w:r>
      <w:rPr>
        <w:lang w:val="ro-RO"/>
      </w:rPr>
      <w:tab/>
    </w:r>
    <w:r>
      <w:rPr>
        <w:lang w:val="ro-RO"/>
      </w:rPr>
      <w:tab/>
      <w:t xml:space="preserve">                        </w:t>
    </w:r>
  </w:p>
  <w:p w:rsidR="0074120D" w:rsidRDefault="0074120D">
    <w:pPr>
      <w:pStyle w:val="Footer"/>
      <w:tabs>
        <w:tab w:val="clear" w:pos="9360"/>
        <w:tab w:val="left" w:pos="5100"/>
      </w:tabs>
      <w:rPr>
        <w:lang w:val="ro-RO"/>
      </w:rPr>
    </w:pPr>
  </w:p>
  <w:p w:rsidR="0074120D" w:rsidRDefault="006547AA">
    <w:pPr>
      <w:pStyle w:val="Footer"/>
      <w:tabs>
        <w:tab w:val="clear" w:pos="9360"/>
        <w:tab w:val="left" w:pos="5100"/>
      </w:tabs>
      <w:rPr>
        <w:rFonts w:ascii="Trebuchet MS" w:hAnsi="Trebuchet MS"/>
        <w:lang w:val="ro-RO"/>
      </w:rPr>
    </w:pPr>
    <w:r>
      <w:rPr>
        <w:rFonts w:ascii="Trebuchet MS" w:hAnsi="Trebuchet MS"/>
        <w:lang w:val="ro-RO"/>
      </w:rPr>
      <w:t xml:space="preserve">     </w:t>
    </w:r>
    <w:hyperlink r:id="rId4" w:history="1">
      <w:r>
        <w:rPr>
          <w:rStyle w:val="Hyperlink"/>
          <w:rFonts w:ascii="Trebuchet MS" w:hAnsi="Trebuchet MS"/>
          <w:sz w:val="18"/>
          <w:szCs w:val="18"/>
          <w:lang w:val="ro-RO"/>
        </w:rPr>
        <w:t>www.cudragos.ro</w:t>
      </w:r>
    </w:hyperlink>
    <w:r>
      <w:rPr>
        <w:rFonts w:ascii="Trebuchet MS" w:hAnsi="Trebuchet MS"/>
        <w:sz w:val="18"/>
        <w:szCs w:val="18"/>
        <w:lang w:val="ro-RO"/>
      </w:rPr>
      <w:tab/>
      <w:t xml:space="preserve">                                                                                                                      </w:t>
    </w:r>
    <w:hyperlink r:id="rId5" w:history="1">
      <w:r>
        <w:rPr>
          <w:rStyle w:val="Hyperlink"/>
          <w:rFonts w:ascii="Trebuchet MS" w:hAnsi="Trebuchet MS"/>
          <w:sz w:val="18"/>
          <w:szCs w:val="18"/>
          <w:lang w:val="ro-RO"/>
        </w:rPr>
        <w:t>www.vrfprojects.ro</w:t>
      </w:r>
    </w:hyperlink>
    <w:r>
      <w:rPr>
        <w:rFonts w:ascii="Trebuchet MS" w:hAnsi="Trebuchet MS"/>
        <w:lang w:val="ro-RO"/>
      </w:rPr>
      <w:t xml:space="preserve"> </w:t>
    </w:r>
    <w:bookmarkEnd w:id="1"/>
    <w:bookmarkEnd w:id="2"/>
  </w:p>
  <w:p w:rsidR="0074120D" w:rsidRDefault="0074120D">
    <w:pPr>
      <w:pStyle w:val="Footer"/>
      <w:rPr>
        <w:lang w:val="ro-R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47AA" w:rsidRDefault="006547AA">
      <w:pPr>
        <w:spacing w:after="0"/>
      </w:pPr>
      <w:r>
        <w:separator/>
      </w:r>
    </w:p>
  </w:footnote>
  <w:footnote w:type="continuationSeparator" w:id="0">
    <w:p w:rsidR="006547AA" w:rsidRDefault="006547A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120D" w:rsidRDefault="006547AA">
    <w:pPr>
      <w:pStyle w:val="Header"/>
    </w:pPr>
    <w:r>
      <w:rPr>
        <w:noProof/>
        <w:lang w:val="ro-RO" w:eastAsia="ro-RO"/>
      </w:rPr>
      <w:drawing>
        <wp:inline distT="0" distB="0" distL="0" distR="0">
          <wp:extent cx="2733675" cy="611505"/>
          <wp:effectExtent l="0" t="0" r="0" b="0"/>
          <wp:docPr id="548680513" name="Picture 1" descr="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8680513" name="Picture 1" descr="Blue text on a black background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94137" cy="6253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val="ro-RO" w:eastAsia="ro-RO"/>
      </w:rPr>
      <w:drawing>
        <wp:inline distT="0" distB="0" distL="0" distR="0">
          <wp:extent cx="659765" cy="662305"/>
          <wp:effectExtent l="0" t="0" r="6985" b="4445"/>
          <wp:docPr id="89390873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3908730" name="Picture 1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66951" cy="6699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4120D" w:rsidRDefault="006547AA">
    <w:pPr>
      <w:pStyle w:val="NoSpacing"/>
      <w:rPr>
        <w:rFonts w:ascii="Trebuchet MS" w:hAnsi="Trebuchet MS"/>
        <w:sz w:val="16"/>
        <w:szCs w:val="16"/>
        <w:lang w:val="es-ES"/>
      </w:rPr>
    </w:pPr>
    <w:r>
      <w:rPr>
        <w:rFonts w:ascii="Trebuchet MS" w:hAnsi="Trebuchet MS"/>
        <w:sz w:val="16"/>
        <w:szCs w:val="16"/>
        <w:lang w:val="es-ES"/>
      </w:rPr>
      <w:t>FONDUL SOCIAL EUROPEAN PLUS (FSE+)</w:t>
    </w:r>
  </w:p>
  <w:p w:rsidR="0074120D" w:rsidRDefault="006547AA">
    <w:pPr>
      <w:pStyle w:val="NoSpacing"/>
      <w:rPr>
        <w:rFonts w:ascii="Trebuchet MS" w:hAnsi="Trebuchet MS"/>
        <w:sz w:val="16"/>
        <w:szCs w:val="16"/>
        <w:lang w:val="es-ES"/>
      </w:rPr>
    </w:pPr>
    <w:proofErr w:type="spellStart"/>
    <w:r>
      <w:rPr>
        <w:rFonts w:ascii="Trebuchet MS" w:hAnsi="Trebuchet MS"/>
        <w:sz w:val="16"/>
        <w:szCs w:val="16"/>
        <w:lang w:val="es-ES"/>
      </w:rPr>
      <w:t>Programul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Educație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și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Ocupare (PEO) 2021-2027</w:t>
    </w:r>
  </w:p>
  <w:p w:rsidR="0074120D" w:rsidRDefault="006547AA">
    <w:pPr>
      <w:pStyle w:val="NoSpacing"/>
      <w:rPr>
        <w:rFonts w:ascii="Trebuchet MS" w:hAnsi="Trebuchet MS"/>
        <w:sz w:val="16"/>
        <w:szCs w:val="16"/>
        <w:lang w:val="es-ES"/>
      </w:rPr>
    </w:pPr>
    <w:proofErr w:type="spellStart"/>
    <w:r>
      <w:rPr>
        <w:rFonts w:ascii="Trebuchet MS" w:hAnsi="Trebuchet MS"/>
        <w:sz w:val="16"/>
        <w:szCs w:val="16"/>
        <w:lang w:val="es-ES"/>
      </w:rPr>
      <w:t>Prioritate</w:t>
    </w:r>
    <w:proofErr w:type="spellEnd"/>
    <w:r>
      <w:rPr>
        <w:rFonts w:ascii="Trebuchet MS" w:hAnsi="Trebuchet MS"/>
        <w:sz w:val="16"/>
        <w:szCs w:val="16"/>
        <w:lang w:val="es-ES"/>
      </w:rPr>
      <w:t xml:space="preserve">: 4. Antreprenoriat </w:t>
    </w:r>
    <w:proofErr w:type="spellStart"/>
    <w:r>
      <w:rPr>
        <w:rFonts w:ascii="Trebuchet MS" w:hAnsi="Trebuchet MS"/>
        <w:sz w:val="16"/>
        <w:szCs w:val="16"/>
        <w:lang w:val="es-ES"/>
      </w:rPr>
      <w:t>și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economie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socială</w:t>
    </w:r>
    <w:proofErr w:type="spellEnd"/>
  </w:p>
  <w:p w:rsidR="0074120D" w:rsidRDefault="006547AA">
    <w:pPr>
      <w:pStyle w:val="NoSpacing"/>
      <w:jc w:val="both"/>
      <w:rPr>
        <w:rFonts w:ascii="Trebuchet MS" w:hAnsi="Trebuchet MS"/>
        <w:sz w:val="16"/>
        <w:szCs w:val="16"/>
        <w:lang w:val="es-ES"/>
      </w:rPr>
    </w:pPr>
    <w:proofErr w:type="spellStart"/>
    <w:r>
      <w:rPr>
        <w:rFonts w:ascii="Trebuchet MS" w:hAnsi="Trebuchet MS"/>
        <w:sz w:val="16"/>
        <w:szCs w:val="16"/>
        <w:lang w:val="es-ES"/>
      </w:rPr>
      <w:t>Obiectiv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specific</w:t>
    </w:r>
    <w:proofErr w:type="spellEnd"/>
    <w:r>
      <w:rPr>
        <w:rFonts w:ascii="Trebuchet MS" w:hAnsi="Trebuchet MS"/>
        <w:sz w:val="16"/>
        <w:szCs w:val="16"/>
        <w:lang w:val="es-ES"/>
      </w:rPr>
      <w:t xml:space="preserve">: ESO4.1. </w:t>
    </w:r>
    <w:proofErr w:type="spellStart"/>
    <w:r>
      <w:rPr>
        <w:rFonts w:ascii="Trebuchet MS" w:hAnsi="Trebuchet MS"/>
        <w:sz w:val="16"/>
        <w:szCs w:val="16"/>
        <w:lang w:val="es-ES"/>
      </w:rPr>
      <w:t>Îmbunătățirea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accesului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la </w:t>
    </w:r>
    <w:proofErr w:type="spellStart"/>
    <w:r>
      <w:rPr>
        <w:rFonts w:ascii="Trebuchet MS" w:hAnsi="Trebuchet MS"/>
        <w:sz w:val="16"/>
        <w:szCs w:val="16"/>
        <w:lang w:val="es-ES"/>
      </w:rPr>
      <w:t>piața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muncii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și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măsuri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de activare </w:t>
    </w:r>
    <w:proofErr w:type="spellStart"/>
    <w:r>
      <w:rPr>
        <w:rFonts w:ascii="Trebuchet MS" w:hAnsi="Trebuchet MS"/>
        <w:sz w:val="16"/>
        <w:szCs w:val="16"/>
        <w:lang w:val="es-ES"/>
      </w:rPr>
      <w:t>pentru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toate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persoanele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aflate </w:t>
    </w:r>
    <w:proofErr w:type="spellStart"/>
    <w:r>
      <w:rPr>
        <w:rFonts w:ascii="Trebuchet MS" w:hAnsi="Trebuchet MS"/>
        <w:sz w:val="16"/>
        <w:szCs w:val="16"/>
        <w:lang w:val="es-ES"/>
      </w:rPr>
      <w:t>în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căutarea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unui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loc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de </w:t>
    </w:r>
    <w:proofErr w:type="spellStart"/>
    <w:r>
      <w:rPr>
        <w:rFonts w:ascii="Trebuchet MS" w:hAnsi="Trebuchet MS"/>
        <w:sz w:val="16"/>
        <w:szCs w:val="16"/>
        <w:lang w:val="es-ES"/>
      </w:rPr>
      <w:t>muncă</w:t>
    </w:r>
    <w:proofErr w:type="spellEnd"/>
    <w:r>
      <w:rPr>
        <w:rFonts w:ascii="Trebuchet MS" w:hAnsi="Trebuchet MS"/>
        <w:sz w:val="16"/>
        <w:szCs w:val="16"/>
        <w:lang w:val="es-ES"/>
      </w:rPr>
      <w:t xml:space="preserve">, </w:t>
    </w:r>
    <w:proofErr w:type="spellStart"/>
    <w:r>
      <w:rPr>
        <w:rFonts w:ascii="Trebuchet MS" w:hAnsi="Trebuchet MS"/>
        <w:sz w:val="16"/>
        <w:szCs w:val="16"/>
        <w:lang w:val="es-ES"/>
      </w:rPr>
      <w:t>în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specia</w:t>
    </w:r>
    <w:r>
      <w:rPr>
        <w:rFonts w:ascii="Trebuchet MS" w:hAnsi="Trebuchet MS"/>
        <w:sz w:val="16"/>
        <w:szCs w:val="16"/>
        <w:lang w:val="es-ES"/>
      </w:rPr>
      <w:t>l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pentru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tineri</w:t>
    </w:r>
    <w:proofErr w:type="spellEnd"/>
    <w:r>
      <w:rPr>
        <w:rFonts w:ascii="Trebuchet MS" w:hAnsi="Trebuchet MS"/>
        <w:sz w:val="16"/>
        <w:szCs w:val="16"/>
        <w:lang w:val="es-ES"/>
      </w:rPr>
      <w:t xml:space="preserve">, </w:t>
    </w:r>
    <w:proofErr w:type="spellStart"/>
    <w:r>
      <w:rPr>
        <w:rFonts w:ascii="Trebuchet MS" w:hAnsi="Trebuchet MS"/>
        <w:sz w:val="16"/>
        <w:szCs w:val="16"/>
        <w:lang w:val="es-ES"/>
      </w:rPr>
      <w:t>îndeosebi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prin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implementarea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Garanției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pentru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tineret</w:t>
    </w:r>
    <w:proofErr w:type="spellEnd"/>
    <w:r>
      <w:rPr>
        <w:rFonts w:ascii="Trebuchet MS" w:hAnsi="Trebuchet MS"/>
        <w:sz w:val="16"/>
        <w:szCs w:val="16"/>
        <w:lang w:val="es-ES"/>
      </w:rPr>
      <w:t xml:space="preserve">, </w:t>
    </w:r>
    <w:proofErr w:type="spellStart"/>
    <w:r>
      <w:rPr>
        <w:rFonts w:ascii="Trebuchet MS" w:hAnsi="Trebuchet MS"/>
        <w:sz w:val="16"/>
        <w:szCs w:val="16"/>
        <w:lang w:val="es-ES"/>
      </w:rPr>
      <w:t>pentru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șomerii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de </w:t>
    </w:r>
    <w:proofErr w:type="spellStart"/>
    <w:r>
      <w:rPr>
        <w:rFonts w:ascii="Trebuchet MS" w:hAnsi="Trebuchet MS"/>
        <w:sz w:val="16"/>
        <w:szCs w:val="16"/>
        <w:lang w:val="es-ES"/>
      </w:rPr>
      <w:t>lungă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durată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și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grupurile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defavorizate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de pe </w:t>
    </w:r>
    <w:proofErr w:type="spellStart"/>
    <w:r>
      <w:rPr>
        <w:rFonts w:ascii="Trebuchet MS" w:hAnsi="Trebuchet MS"/>
        <w:sz w:val="16"/>
        <w:szCs w:val="16"/>
        <w:lang w:val="es-ES"/>
      </w:rPr>
      <w:t>piața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muncii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și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pentru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persoanele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inactive, </w:t>
    </w:r>
    <w:proofErr w:type="spellStart"/>
    <w:r>
      <w:rPr>
        <w:rFonts w:ascii="Trebuchet MS" w:hAnsi="Trebuchet MS"/>
        <w:sz w:val="16"/>
        <w:szCs w:val="16"/>
        <w:lang w:val="es-ES"/>
      </w:rPr>
      <w:t>precum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și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prin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promovarea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desfășurării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de </w:t>
    </w:r>
    <w:proofErr w:type="spellStart"/>
    <w:r>
      <w:rPr>
        <w:rFonts w:ascii="Trebuchet MS" w:hAnsi="Trebuchet MS"/>
        <w:sz w:val="16"/>
        <w:szCs w:val="16"/>
        <w:lang w:val="es-ES"/>
      </w:rPr>
      <w:t>activități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independente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și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a </w:t>
    </w:r>
    <w:proofErr w:type="spellStart"/>
    <w:r>
      <w:rPr>
        <w:rFonts w:ascii="Trebuchet MS" w:hAnsi="Trebuchet MS"/>
        <w:sz w:val="16"/>
        <w:szCs w:val="16"/>
        <w:lang w:val="es-ES"/>
      </w:rPr>
      <w:t>econom</w:t>
    </w:r>
    <w:r>
      <w:rPr>
        <w:rFonts w:ascii="Trebuchet MS" w:hAnsi="Trebuchet MS"/>
        <w:sz w:val="16"/>
        <w:szCs w:val="16"/>
        <w:lang w:val="es-ES"/>
      </w:rPr>
      <w:t>iei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sociale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(FSE+)</w:t>
    </w:r>
  </w:p>
  <w:p w:rsidR="0074120D" w:rsidRDefault="006547AA">
    <w:pPr>
      <w:pStyle w:val="NoSpacing"/>
      <w:rPr>
        <w:rFonts w:ascii="Trebuchet MS" w:hAnsi="Trebuchet MS"/>
        <w:sz w:val="16"/>
        <w:szCs w:val="16"/>
        <w:lang w:val="es-ES"/>
      </w:rPr>
    </w:pPr>
    <w:proofErr w:type="spellStart"/>
    <w:r>
      <w:rPr>
        <w:rFonts w:ascii="Trebuchet MS" w:hAnsi="Trebuchet MS"/>
        <w:sz w:val="16"/>
        <w:szCs w:val="16"/>
        <w:lang w:val="es-ES"/>
      </w:rPr>
      <w:t>Acțiunea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4.a.2 </w:t>
    </w:r>
    <w:proofErr w:type="spellStart"/>
    <w:r>
      <w:rPr>
        <w:rFonts w:ascii="Trebuchet MS" w:hAnsi="Trebuchet MS"/>
        <w:sz w:val="16"/>
        <w:szCs w:val="16"/>
        <w:lang w:val="es-ES"/>
      </w:rPr>
      <w:t>Sprijin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pentru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dezvoltarea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antreprenoriatului</w:t>
    </w:r>
  </w:p>
  <w:p w:rsidR="0074120D" w:rsidRDefault="006547AA">
    <w:pPr>
      <w:pStyle w:val="NoSpacing"/>
      <w:rPr>
        <w:rFonts w:ascii="Trebuchet MS" w:hAnsi="Trebuchet MS"/>
        <w:sz w:val="16"/>
        <w:szCs w:val="16"/>
        <w:lang w:val="es-ES"/>
      </w:rPr>
    </w:pPr>
    <w:proofErr w:type="spellStart"/>
    <w:r>
      <w:rPr>
        <w:rFonts w:ascii="Trebuchet MS" w:hAnsi="Trebuchet MS"/>
        <w:sz w:val="16"/>
        <w:szCs w:val="16"/>
        <w:lang w:val="es-ES"/>
      </w:rPr>
      <w:t>Titlul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proiectului</w:t>
    </w:r>
    <w:proofErr w:type="spellEnd"/>
    <w:r>
      <w:rPr>
        <w:rFonts w:ascii="Trebuchet MS" w:hAnsi="Trebuchet MS"/>
        <w:sz w:val="16"/>
        <w:szCs w:val="16"/>
        <w:lang w:val="es-ES"/>
      </w:rPr>
      <w:t xml:space="preserve">: </w:t>
    </w:r>
    <w:proofErr w:type="spellStart"/>
    <w:r>
      <w:rPr>
        <w:rFonts w:ascii="Trebuchet MS" w:hAnsi="Trebuchet MS"/>
        <w:sz w:val="16"/>
        <w:szCs w:val="16"/>
      </w:rPr>
      <w:t>Economie</w:t>
    </w:r>
    <w:proofErr w:type="spellEnd"/>
    <w:r>
      <w:rPr>
        <w:rFonts w:ascii="Trebuchet MS" w:hAnsi="Trebuchet MS"/>
        <w:sz w:val="16"/>
        <w:szCs w:val="16"/>
      </w:rPr>
      <w:t xml:space="preserve"> </w:t>
    </w:r>
    <w:proofErr w:type="spellStart"/>
    <w:r>
      <w:rPr>
        <w:rFonts w:ascii="Trebuchet MS" w:hAnsi="Trebuchet MS"/>
        <w:sz w:val="16"/>
        <w:szCs w:val="16"/>
      </w:rPr>
      <w:t>sociala</w:t>
    </w:r>
    <w:proofErr w:type="spellEnd"/>
    <w:r>
      <w:rPr>
        <w:rFonts w:ascii="Trebuchet MS" w:hAnsi="Trebuchet MS"/>
        <w:sz w:val="16"/>
        <w:szCs w:val="16"/>
      </w:rPr>
      <w:t xml:space="preserve"> in </w:t>
    </w:r>
    <w:proofErr w:type="spellStart"/>
    <w:r>
      <w:rPr>
        <w:rFonts w:ascii="Trebuchet MS" w:hAnsi="Trebuchet MS"/>
        <w:sz w:val="16"/>
        <w:szCs w:val="16"/>
      </w:rPr>
      <w:t>regiunile</w:t>
    </w:r>
    <w:proofErr w:type="spellEnd"/>
    <w:r>
      <w:rPr>
        <w:rFonts w:ascii="Trebuchet MS" w:hAnsi="Trebuchet MS"/>
        <w:sz w:val="16"/>
        <w:szCs w:val="16"/>
      </w:rPr>
      <w:t xml:space="preserve"> </w:t>
    </w:r>
    <w:proofErr w:type="spellStart"/>
    <w:r>
      <w:rPr>
        <w:rFonts w:ascii="Trebuchet MS" w:hAnsi="Trebuchet MS"/>
        <w:sz w:val="16"/>
        <w:szCs w:val="16"/>
      </w:rPr>
      <w:t>Centru</w:t>
    </w:r>
    <w:proofErr w:type="spellEnd"/>
    <w:r>
      <w:rPr>
        <w:rFonts w:ascii="Trebuchet MS" w:hAnsi="Trebuchet MS"/>
        <w:sz w:val="16"/>
        <w:szCs w:val="16"/>
      </w:rPr>
      <w:t xml:space="preserve"> </w:t>
    </w:r>
    <w:proofErr w:type="spellStart"/>
    <w:r>
      <w:rPr>
        <w:rFonts w:ascii="Trebuchet MS" w:hAnsi="Trebuchet MS"/>
        <w:sz w:val="16"/>
        <w:szCs w:val="16"/>
      </w:rPr>
      <w:t>si</w:t>
    </w:r>
    <w:proofErr w:type="spellEnd"/>
    <w:r>
      <w:rPr>
        <w:rFonts w:ascii="Trebuchet MS" w:hAnsi="Trebuchet MS"/>
        <w:sz w:val="16"/>
        <w:szCs w:val="16"/>
      </w:rPr>
      <w:t xml:space="preserve"> </w:t>
    </w:r>
    <w:proofErr w:type="spellStart"/>
    <w:r>
      <w:rPr>
        <w:rFonts w:ascii="Trebuchet MS" w:hAnsi="Trebuchet MS"/>
        <w:sz w:val="16"/>
        <w:szCs w:val="16"/>
      </w:rPr>
      <w:t>Sud-Muntenia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PEO/103/PEO_P4/OP4/ESO4.1/PEO_A52/311214</w:t>
    </w:r>
  </w:p>
  <w:p w:rsidR="0074120D" w:rsidRDefault="006547AA">
    <w:pPr>
      <w:pStyle w:val="Header"/>
      <w:rPr>
        <w:sz w:val="10"/>
        <w:szCs w:val="10"/>
        <w:lang w:eastAsia="ro-RO"/>
      </w:rPr>
    </w:pPr>
    <w:proofErr w:type="spellStart"/>
    <w:r>
      <w:rPr>
        <w:rFonts w:ascii="Trebuchet MS" w:hAnsi="Trebuchet MS"/>
        <w:sz w:val="16"/>
        <w:szCs w:val="16"/>
        <w:lang w:val="es-ES"/>
      </w:rPr>
      <w:t>Cod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SMIS: 311214</w:t>
    </w:r>
  </w:p>
  <w:p w:rsidR="0074120D" w:rsidRDefault="0074120D">
    <w:pPr>
      <w:pStyle w:val="Header"/>
      <w:pBdr>
        <w:bottom w:val="single" w:sz="4" w:space="1" w:color="4F81BD"/>
      </w:pBdr>
      <w:rPr>
        <w:sz w:val="10"/>
        <w:szCs w:val="10"/>
        <w:lang w:eastAsia="ro-RO"/>
      </w:rPr>
    </w:pPr>
  </w:p>
  <w:p w:rsidR="0074120D" w:rsidRDefault="0074120D">
    <w:pPr>
      <w:pStyle w:val="Header"/>
      <w:rPr>
        <w:sz w:val="8"/>
        <w:szCs w:val="8"/>
      </w:rPr>
    </w:pPr>
  </w:p>
  <w:p w:rsidR="0074120D" w:rsidRDefault="0074120D">
    <w:pPr>
      <w:pStyle w:val="Header"/>
      <w:rPr>
        <w:sz w:val="12"/>
        <w:szCs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BF3"/>
    <w:rsid w:val="000630F8"/>
    <w:rsid w:val="00080C20"/>
    <w:rsid w:val="00081A5C"/>
    <w:rsid w:val="000858FF"/>
    <w:rsid w:val="000A7BC4"/>
    <w:rsid w:val="00105CD9"/>
    <w:rsid w:val="00106124"/>
    <w:rsid w:val="00110BE8"/>
    <w:rsid w:val="00114EED"/>
    <w:rsid w:val="00162004"/>
    <w:rsid w:val="00177E54"/>
    <w:rsid w:val="002060DD"/>
    <w:rsid w:val="002A0AD8"/>
    <w:rsid w:val="0039376D"/>
    <w:rsid w:val="003A6C57"/>
    <w:rsid w:val="003D0502"/>
    <w:rsid w:val="00443727"/>
    <w:rsid w:val="00475911"/>
    <w:rsid w:val="00476C75"/>
    <w:rsid w:val="00477BF3"/>
    <w:rsid w:val="00486F58"/>
    <w:rsid w:val="00523440"/>
    <w:rsid w:val="00524F06"/>
    <w:rsid w:val="005647E4"/>
    <w:rsid w:val="005656D2"/>
    <w:rsid w:val="005C1749"/>
    <w:rsid w:val="005D39A3"/>
    <w:rsid w:val="00601F57"/>
    <w:rsid w:val="0063567E"/>
    <w:rsid w:val="006547AA"/>
    <w:rsid w:val="006F0EF9"/>
    <w:rsid w:val="007175BC"/>
    <w:rsid w:val="00722BA4"/>
    <w:rsid w:val="00732C9A"/>
    <w:rsid w:val="0074120D"/>
    <w:rsid w:val="00764284"/>
    <w:rsid w:val="00795F17"/>
    <w:rsid w:val="007C10EE"/>
    <w:rsid w:val="007E3E97"/>
    <w:rsid w:val="008179F6"/>
    <w:rsid w:val="00860280"/>
    <w:rsid w:val="009162D4"/>
    <w:rsid w:val="00955FED"/>
    <w:rsid w:val="00993DF0"/>
    <w:rsid w:val="00A15B2E"/>
    <w:rsid w:val="00A1729A"/>
    <w:rsid w:val="00A71887"/>
    <w:rsid w:val="00AB2C33"/>
    <w:rsid w:val="00B06938"/>
    <w:rsid w:val="00B20F54"/>
    <w:rsid w:val="00B70374"/>
    <w:rsid w:val="00BE5722"/>
    <w:rsid w:val="00BE6A53"/>
    <w:rsid w:val="00C40C09"/>
    <w:rsid w:val="00C523DC"/>
    <w:rsid w:val="00C81022"/>
    <w:rsid w:val="00C91F2B"/>
    <w:rsid w:val="00CF1FB1"/>
    <w:rsid w:val="00D21936"/>
    <w:rsid w:val="00D551F2"/>
    <w:rsid w:val="00D71F5D"/>
    <w:rsid w:val="00DA0AF3"/>
    <w:rsid w:val="00DD23BE"/>
    <w:rsid w:val="00DE114F"/>
    <w:rsid w:val="00E76A34"/>
    <w:rsid w:val="00E9454B"/>
    <w:rsid w:val="00EC4A1E"/>
    <w:rsid w:val="00FA5A60"/>
    <w:rsid w:val="00FB0CF5"/>
    <w:rsid w:val="00FF5F2F"/>
    <w:rsid w:val="0BF906B3"/>
    <w:rsid w:val="10493E45"/>
    <w:rsid w:val="10560F5C"/>
    <w:rsid w:val="1B7C44DF"/>
    <w:rsid w:val="2FF103B4"/>
    <w:rsid w:val="425F0874"/>
    <w:rsid w:val="4BF93138"/>
    <w:rsid w:val="50A61566"/>
    <w:rsid w:val="50BA3B81"/>
    <w:rsid w:val="54797DA5"/>
    <w:rsid w:val="5BB740F7"/>
    <w:rsid w:val="5C915E6B"/>
    <w:rsid w:val="6A9E5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651F666-8A2E-40B2-9402-3636D7FF3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Times New Roman" w:hAnsi="Calibri" w:cs="Times New Roman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62626" w:themeColor="text1" w:themeTint="D9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62626" w:themeColor="text1" w:themeTint="D9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val="ro-RO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Hyperlink">
    <w:name w:val="Hyperlink"/>
    <w:basedOn w:val="DefaultParagraphFont"/>
    <w:uiPriority w:val="99"/>
    <w:unhideWhenUsed/>
    <w:qFormat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qFormat/>
    <w:rPr>
      <w:rFonts w:ascii="Times New Roman" w:hAnsi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i/>
      <w:iCs/>
      <w:color w:val="0F4761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Pr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UnresolvedMention">
    <w:name w:val="Unresolved Mention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pa1">
    <w:name w:val="tpa1"/>
    <w:basedOn w:val="DefaultParagraphFont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rebuchet MS" w:eastAsia="Aptos" w:hAnsi="Trebuchet MS" w:cs="Trebuchet MS"/>
      <w:color w:val="000000"/>
      <w:sz w:val="24"/>
      <w:szCs w:val="24"/>
      <w:lang w:val="en-US" w:eastAsia="en-US"/>
    </w:rPr>
  </w:style>
  <w:style w:type="character" w:customStyle="1" w:styleId="spar">
    <w:name w:val="s_par"/>
    <w:basedOn w:val="DefaultParagraphFont"/>
    <w:qFormat/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Pr>
      <w:kern w:val="0"/>
      <w:sz w:val="20"/>
      <w:szCs w:val="20"/>
      <w:lang w:val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hyperlink" Target="http://www.vrfprojects.ro" TargetMode="External"/><Relationship Id="rId4" Type="http://schemas.openxmlformats.org/officeDocument/2006/relationships/hyperlink" Target="http://www.cudragos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31046A-68B2-4FBF-934C-0F093A107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192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ILEANA</dc:creator>
  <cp:lastModifiedBy>Intel</cp:lastModifiedBy>
  <cp:revision>3</cp:revision>
  <dcterms:created xsi:type="dcterms:W3CDTF">2025-05-23T14:58:00Z</dcterms:created>
  <dcterms:modified xsi:type="dcterms:W3CDTF">2025-05-23T15:11:00Z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2057-12.2.0.20323</vt:lpwstr>
  </property>
  <property fmtid="{D5CDD505-2E9C-101B-9397-08002B2CF9AE}" pid="3" name="ICV">
    <vt:lpwstr>0BA9B8C9FF6E43EFA6D70E0718DA42E3_13</vt:lpwstr>
  </property>
</Properties>
</file>